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  <w:r w:rsidR="003D3C9F">
        <w:t>_______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D3C9F">
        <w:rPr>
          <w:rFonts w:ascii="Times New Roman" w:hAnsi="Times New Roman" w:cs="Times New Roman"/>
          <w:sz w:val="25"/>
          <w:szCs w:val="25"/>
        </w:rPr>
        <w:t>_________</w:t>
      </w:r>
      <w:r w:rsidR="00AB0F06" w:rsidRPr="001613BB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3D3C9F">
        <w:rPr>
          <w:rFonts w:ascii="Times New Roman" w:hAnsi="Times New Roman" w:cs="Times New Roman"/>
          <w:b/>
          <w:sz w:val="25"/>
          <w:szCs w:val="25"/>
        </w:rPr>
        <w:t>___________</w:t>
      </w:r>
      <w:r w:rsidR="00DD51C0" w:rsidRPr="001613BB">
        <w:rPr>
          <w:rFonts w:ascii="Times New Roman" w:hAnsi="Times New Roman" w:cs="Times New Roman"/>
          <w:b/>
          <w:sz w:val="25"/>
          <w:szCs w:val="25"/>
        </w:rPr>
        <w:t>»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3D3C9F">
        <w:rPr>
          <w:rFonts w:ascii="Times New Roman" w:hAnsi="Times New Roman" w:cs="Times New Roman"/>
          <w:b/>
          <w:sz w:val="25"/>
          <w:szCs w:val="25"/>
        </w:rPr>
        <w:t>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D3C9F">
        <w:rPr>
          <w:rFonts w:ascii="Times New Roman" w:hAnsi="Times New Roman" w:cs="Times New Roman"/>
          <w:sz w:val="25"/>
          <w:szCs w:val="25"/>
        </w:rPr>
        <w:t>__________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3D3C9F">
        <w:rPr>
          <w:rFonts w:ascii="Times New Roman" w:hAnsi="Times New Roman" w:cs="Times New Roman"/>
          <w:sz w:val="25"/>
          <w:szCs w:val="25"/>
        </w:rPr>
        <w:t>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 основании ч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A24F0">
        <w:rPr>
          <w:rFonts w:ascii="Times New Roman" w:hAnsi="Times New Roman" w:cs="Times New Roman"/>
          <w:kern w:val="0"/>
          <w:sz w:val="25"/>
          <w:szCs w:val="25"/>
          <w:lang w:eastAsia="zh-CN"/>
        </w:rPr>
        <w:t>маски медицинские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3D3C9F">
        <w:rPr>
          <w:rFonts w:ascii="Times New Roman" w:hAnsi="Times New Roman" w:cs="Times New Roman"/>
          <w:kern w:val="0"/>
          <w:sz w:val="25"/>
          <w:szCs w:val="25"/>
          <w:lang w:eastAsia="zh-CN"/>
        </w:rPr>
        <w:t>___</w:t>
      </w:r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(</w:t>
      </w:r>
      <w:r w:rsidR="003D3C9F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41606E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)</w:t>
      </w:r>
      <w:r w:rsidR="000F3CCF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7244B3">
        <w:rPr>
          <w:rFonts w:ascii="Times New Roman" w:hAnsi="Times New Roman" w:cs="Times New Roman"/>
          <w:kern w:val="0"/>
          <w:sz w:val="25"/>
          <w:szCs w:val="25"/>
          <w:lang w:eastAsia="zh-CN"/>
        </w:rPr>
        <w:t>календарных</w:t>
      </w:r>
      <w:proofErr w:type="gramEnd"/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91EDF">
        <w:rPr>
          <w:rFonts w:ascii="Times New Roman" w:hAnsi="Times New Roman" w:cs="Times New Roman"/>
          <w:kern w:val="0"/>
          <w:sz w:val="25"/>
          <w:szCs w:val="25"/>
          <w:lang w:eastAsia="zh-CN"/>
        </w:rPr>
        <w:t>с даты заключения Договора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3D3C9F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___________________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90495" w:rsidRDefault="00890495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D3C9F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3D3C9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</w:t>
      </w:r>
      <w:r w:rsidR="00AE298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D5673F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3D3C9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</w:t>
      </w:r>
      <w:r w:rsidR="00F44A4D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еек,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</w:t>
      </w:r>
      <w:r w:rsidR="003D3C9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10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%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расходы, которые Поставщик должен оплачивать в соответствии с условиями Договора или в связи с</w:t>
      </w:r>
      <w:proofErr w:type="gramEnd"/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D91EDF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>Оплата по Договору осуществляется Покупателем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течение</w:t>
      </w:r>
      <w:proofErr w:type="gramStart"/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D3C9F">
        <w:rPr>
          <w:rFonts w:ascii="Times New Roman" w:hAnsi="Times New Roman" w:cs="Times New Roman"/>
          <w:kern w:val="0"/>
          <w:sz w:val="26"/>
          <w:szCs w:val="26"/>
          <w:lang w:eastAsia="zh-CN"/>
        </w:rPr>
        <w:t>__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3D3C9F">
        <w:rPr>
          <w:rFonts w:ascii="Times New Roman" w:hAnsi="Times New Roman" w:cs="Times New Roman"/>
          <w:kern w:val="0"/>
          <w:sz w:val="26"/>
          <w:szCs w:val="26"/>
          <w:lang w:eastAsia="zh-CN"/>
        </w:rPr>
        <w:t>____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) </w:t>
      </w:r>
      <w:proofErr w:type="gramEnd"/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календарных дней, за поставленный и принятый Товар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D91ED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54142" w:rsidRDefault="00854142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5A24F0" w:rsidRPr="00BD6D7B" w:rsidRDefault="005A24F0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ранее 20</w:t>
      </w:r>
      <w:r w:rsidR="00BA3D9C">
        <w:rPr>
          <w:rFonts w:ascii="Times New Roman" w:hAnsi="Times New Roman" w:cs="Times New Roman"/>
          <w:kern w:val="0"/>
          <w:sz w:val="25"/>
          <w:szCs w:val="25"/>
          <w:lang w:eastAsia="zh-CN"/>
        </w:rPr>
        <w:t>20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12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3D3C9F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D3C9F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3D3C9F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3D3C9F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5454F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854142" w:rsidRDefault="00854142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1331E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1331E" w:rsidRPr="002708F5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не поступлении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обстоятельств</w:t>
      </w:r>
      <w:r w:rsidR="00890495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,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11331E" w:rsidRDefault="0011331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45454F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45454F">
        <w:rPr>
          <w:rFonts w:ascii="Times New Roman" w:hAnsi="Times New Roman" w:cs="Times New Roman"/>
          <w:sz w:val="25"/>
          <w:szCs w:val="25"/>
        </w:rPr>
        <w:t>_____________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45454F">
        <w:rPr>
          <w:rFonts w:ascii="Times New Roman" w:hAnsi="Times New Roman" w:cs="Times New Roman"/>
          <w:sz w:val="25"/>
          <w:szCs w:val="25"/>
        </w:rPr>
        <w:t xml:space="preserve"> _____________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B811A9" w:rsidRPr="00B811A9" w:rsidRDefault="00B811A9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Pr="00BD6D7B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Адрес электронной почты: postmaster@pppudp.ru</w:t>
            </w: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55504F" w:rsidRDefault="005550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5454F" w:rsidRDefault="004545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5454F" w:rsidRPr="00AA3B82" w:rsidRDefault="0045454F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865B2" w:rsidRPr="00AA3B82" w:rsidRDefault="00C865B2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45454F">
              <w:rPr>
                <w:rFonts w:ascii="Times New Roman" w:hAnsi="Times New Roman" w:cs="Times New Roman"/>
                <w:bCs/>
                <w:sz w:val="25"/>
                <w:szCs w:val="25"/>
              </w:rPr>
              <w:t>_______</w:t>
            </w: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AB06D8" w:rsidRPr="00AA3B82" w:rsidRDefault="00C865B2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45454F">
        <w:rPr>
          <w:rFonts w:ascii="Times New Roman" w:hAnsi="Times New Roman" w:cs="Times New Roman"/>
          <w:sz w:val="25"/>
          <w:szCs w:val="25"/>
        </w:rPr>
        <w:t>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11331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11331E" w:rsidRPr="00A33A80" w:rsidTr="0045454F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B735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31E" w:rsidRPr="0011331E" w:rsidRDefault="0011331E" w:rsidP="00D91ED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1E" w:rsidRPr="00B86E74" w:rsidRDefault="0011331E" w:rsidP="00113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45454F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45454F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5A24F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том числе НДС </w:t>
            </w:r>
            <w:r w:rsidR="005A24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Итого 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45454F" w:rsidRPr="00AA3B82" w:rsidRDefault="0045454F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5A1672" w:rsidRPr="00AA3B82" w:rsidRDefault="005A167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AA3B82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45454F">
              <w:rPr>
                <w:rFonts w:ascii="Times New Roman" w:hAnsi="Times New Roman" w:cs="Times New Roman"/>
                <w:bCs/>
                <w:sz w:val="25"/>
                <w:szCs w:val="25"/>
              </w:rPr>
              <w:t>_______</w:t>
            </w:r>
            <w:bookmarkStart w:id="0" w:name="_GoBack"/>
            <w:bookmarkEnd w:id="0"/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81" w:rsidRDefault="00817481">
      <w:r>
        <w:separator/>
      </w:r>
    </w:p>
  </w:endnote>
  <w:endnote w:type="continuationSeparator" w:id="0">
    <w:p w:rsidR="00817481" w:rsidRDefault="0081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A3" w:rsidRPr="00903B2C" w:rsidRDefault="00F139A3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81" w:rsidRDefault="00817481">
      <w:r>
        <w:separator/>
      </w:r>
    </w:p>
  </w:footnote>
  <w:footnote w:type="continuationSeparator" w:id="0">
    <w:p w:rsidR="00817481" w:rsidRDefault="0081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39A3" w:rsidRPr="00434608" w:rsidRDefault="007E15F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F139A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45454F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34FA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AED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331E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8594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2EDB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2E50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40AE"/>
    <w:rsid w:val="003C5AE1"/>
    <w:rsid w:val="003C5D86"/>
    <w:rsid w:val="003D3761"/>
    <w:rsid w:val="003D3C9F"/>
    <w:rsid w:val="003D51CF"/>
    <w:rsid w:val="003D5640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454F"/>
    <w:rsid w:val="00456D1A"/>
    <w:rsid w:val="00461EAF"/>
    <w:rsid w:val="00464820"/>
    <w:rsid w:val="0046488F"/>
    <w:rsid w:val="00467EE5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3E0C"/>
    <w:rsid w:val="00584C3A"/>
    <w:rsid w:val="00584F09"/>
    <w:rsid w:val="00595A11"/>
    <w:rsid w:val="005A089A"/>
    <w:rsid w:val="005A1672"/>
    <w:rsid w:val="005A2076"/>
    <w:rsid w:val="005A24F0"/>
    <w:rsid w:val="005A37E0"/>
    <w:rsid w:val="005A4762"/>
    <w:rsid w:val="005A485D"/>
    <w:rsid w:val="005B0771"/>
    <w:rsid w:val="005B3A66"/>
    <w:rsid w:val="005C475A"/>
    <w:rsid w:val="005D2028"/>
    <w:rsid w:val="005D46E9"/>
    <w:rsid w:val="005D49AE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15F1B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29B7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2896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5F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481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47F5B"/>
    <w:rsid w:val="00853CE7"/>
    <w:rsid w:val="00854142"/>
    <w:rsid w:val="008560F3"/>
    <w:rsid w:val="00860730"/>
    <w:rsid w:val="00861D2A"/>
    <w:rsid w:val="00864C4F"/>
    <w:rsid w:val="008746E9"/>
    <w:rsid w:val="008805B1"/>
    <w:rsid w:val="00884ECF"/>
    <w:rsid w:val="008855B3"/>
    <w:rsid w:val="00885D14"/>
    <w:rsid w:val="008871AF"/>
    <w:rsid w:val="00890495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E7117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35F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70F9"/>
    <w:rsid w:val="00A60AEF"/>
    <w:rsid w:val="00A63392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68F4"/>
    <w:rsid w:val="00B472E8"/>
    <w:rsid w:val="00B47F20"/>
    <w:rsid w:val="00B643F6"/>
    <w:rsid w:val="00B811A9"/>
    <w:rsid w:val="00B836FE"/>
    <w:rsid w:val="00B85019"/>
    <w:rsid w:val="00B86E74"/>
    <w:rsid w:val="00B90611"/>
    <w:rsid w:val="00B938EB"/>
    <w:rsid w:val="00B972A4"/>
    <w:rsid w:val="00BA177B"/>
    <w:rsid w:val="00BA296B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CF3542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1EDF"/>
    <w:rsid w:val="00D92AC7"/>
    <w:rsid w:val="00D94A83"/>
    <w:rsid w:val="00DA40F4"/>
    <w:rsid w:val="00DA62B0"/>
    <w:rsid w:val="00DA7329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11A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39A3"/>
    <w:rsid w:val="00F14914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87458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12C7-DFB4-40C5-8F2D-6F4F4F8F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3</cp:revision>
  <cp:lastPrinted>2019-04-05T13:30:00Z</cp:lastPrinted>
  <dcterms:created xsi:type="dcterms:W3CDTF">2020-06-17T08:50:00Z</dcterms:created>
  <dcterms:modified xsi:type="dcterms:W3CDTF">2020-06-17T09:09:00Z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